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6A9B" w14:textId="77777777" w:rsidR="003F4741" w:rsidRDefault="00000000">
      <w:pPr>
        <w:pStyle w:val="Mezititulek"/>
      </w:pPr>
      <w:r>
        <w:t xml:space="preserve">Příloha č. 4 výzvy </w:t>
      </w:r>
      <w:r>
        <w:rPr>
          <w:highlight w:val="white"/>
        </w:rPr>
        <w:t>OP</w:t>
      </w:r>
      <w:r>
        <w:t xml:space="preserve">ST č. 83/ </w:t>
      </w:r>
      <w:proofErr w:type="gramStart"/>
      <w:r>
        <w:t>84  20</w:t>
      </w:r>
      <w:r>
        <w:rPr>
          <w:highlight w:val="white"/>
        </w:rPr>
        <w:t>2</w:t>
      </w:r>
      <w:r>
        <w:t>5</w:t>
      </w:r>
      <w:proofErr w:type="gramEnd"/>
    </w:p>
    <w:p w14:paraId="648D7939" w14:textId="77777777" w:rsidR="003F4741" w:rsidRDefault="00000000">
      <w:pPr>
        <w:pStyle w:val="TITULEKVZVY"/>
        <w:rPr>
          <w:rFonts w:cs="Segoe UI"/>
        </w:rPr>
      </w:pPr>
      <w:r>
        <w:rPr>
          <w:rFonts w:cs="Segoe UI"/>
        </w:rPr>
        <w:t>prohlášení žadatele k souladu realizace projektu s podmínkami DNSH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3F4741" w14:paraId="7A7FEC12" w14:textId="77777777">
        <w:trPr>
          <w:trHeight w:val="460"/>
        </w:trPr>
        <w:tc>
          <w:tcPr>
            <w:tcW w:w="2405" w:type="dxa"/>
            <w:vAlign w:val="center"/>
          </w:tcPr>
          <w:p w14:paraId="22707366" w14:textId="54410E97" w:rsidR="003F4741" w:rsidRDefault="00C21F6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 / Jméno žadatele</w:t>
            </w:r>
          </w:p>
        </w:tc>
        <w:tc>
          <w:tcPr>
            <w:tcW w:w="6655" w:type="dxa"/>
            <w:vAlign w:val="center"/>
          </w:tcPr>
          <w:p w14:paraId="4F07D4EA" w14:textId="77777777" w:rsidR="003F4741" w:rsidRDefault="003F4741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3F4741" w14:paraId="3C1CB635" w14:textId="77777777">
        <w:trPr>
          <w:trHeight w:val="460"/>
        </w:trPr>
        <w:tc>
          <w:tcPr>
            <w:tcW w:w="2405" w:type="dxa"/>
            <w:vAlign w:val="center"/>
          </w:tcPr>
          <w:p w14:paraId="1890714B" w14:textId="77777777" w:rsidR="003F4741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</w:t>
            </w:r>
          </w:p>
        </w:tc>
        <w:tc>
          <w:tcPr>
            <w:tcW w:w="6655" w:type="dxa"/>
            <w:vAlign w:val="center"/>
          </w:tcPr>
          <w:p w14:paraId="7856FC5F" w14:textId="77777777" w:rsidR="003F4741" w:rsidRDefault="003F4741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3F4741" w14:paraId="53BFBD17" w14:textId="77777777">
        <w:trPr>
          <w:trHeight w:val="460"/>
        </w:trPr>
        <w:tc>
          <w:tcPr>
            <w:tcW w:w="2405" w:type="dxa"/>
            <w:vAlign w:val="center"/>
          </w:tcPr>
          <w:p w14:paraId="3486E619" w14:textId="77777777" w:rsidR="003F4741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36361491" w14:textId="77777777" w:rsidR="003F4741" w:rsidRDefault="003F4741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3F4741" w14:paraId="47C4EC0A" w14:textId="77777777">
        <w:trPr>
          <w:trHeight w:val="460"/>
        </w:trPr>
        <w:tc>
          <w:tcPr>
            <w:tcW w:w="2405" w:type="dxa"/>
            <w:vAlign w:val="center"/>
          </w:tcPr>
          <w:p w14:paraId="7DC600F4" w14:textId="77777777" w:rsidR="003F4741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301F9C88" w14:textId="77777777" w:rsidR="003F4741" w:rsidRDefault="003F4741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319A562F" w14:textId="77777777" w:rsidR="00C21F60" w:rsidRDefault="00C21F60" w:rsidP="00C21F60">
      <w:pPr>
        <w:rPr>
          <w:rFonts w:cs="Segoe UI"/>
        </w:rPr>
      </w:pPr>
    </w:p>
    <w:p w14:paraId="4909BD6E" w14:textId="179105DB" w:rsidR="00C21F60" w:rsidRDefault="00C21F60" w:rsidP="00C21F60">
      <w:pPr>
        <w:rPr>
          <w:rFonts w:eastAsiaTheme="minorEastAsia"/>
        </w:rPr>
      </w:pPr>
      <w:r>
        <w:rPr>
          <w:rFonts w:cs="Segoe UI"/>
        </w:rPr>
        <w:t xml:space="preserve">Žadatel prohlašuje, že je obeznámen a bere na vědomí podmínky vycházející z principu významného nepoškozování enviromentálních cílů („Do no </w:t>
      </w:r>
      <w:proofErr w:type="spellStart"/>
      <w:r>
        <w:rPr>
          <w:rFonts w:cs="Segoe UI"/>
        </w:rPr>
        <w:t>significant</w:t>
      </w:r>
      <w:proofErr w:type="spellEnd"/>
      <w:r>
        <w:rPr>
          <w:rFonts w:cs="Segoe UI"/>
        </w:rPr>
        <w:t xml:space="preserve"> </w:t>
      </w:r>
      <w:proofErr w:type="spellStart"/>
      <w:r>
        <w:rPr>
          <w:rFonts w:cs="Segoe UI"/>
        </w:rPr>
        <w:t>harm</w:t>
      </w:r>
      <w:proofErr w:type="spellEnd"/>
      <w:r>
        <w:rPr>
          <w:rFonts w:cs="Segoe UI"/>
        </w:rPr>
        <w:t xml:space="preserve">“, DNSH), vycházejícího z článku </w:t>
      </w:r>
      <w:r>
        <w:rPr>
          <w:rFonts w:eastAsiaTheme="minorEastAsia"/>
        </w:rPr>
        <w:t>č. 17 nařízení Evropského parlamentu a Rady (EU) 2020/852 ze dne 18. června 2020 o zřízení rámce pro usnadnění udržitelných investic a o změně nařízení (EU) 2019/2088.</w:t>
      </w:r>
      <w:r>
        <w:rPr>
          <w:rStyle w:val="Znakapoznpodarou"/>
          <w:rFonts w:eastAsiaTheme="minorEastAsia"/>
        </w:rPr>
        <w:footnoteReference w:id="1"/>
      </w:r>
      <w:r>
        <w:rPr>
          <w:rFonts w:eastAsiaTheme="minorEastAsia"/>
        </w:rPr>
        <w:t xml:space="preserve"> </w:t>
      </w:r>
    </w:p>
    <w:p w14:paraId="15B50FF6" w14:textId="77777777" w:rsidR="00C21F60" w:rsidRDefault="00C21F60" w:rsidP="00C21F60">
      <w:pPr>
        <w:rPr>
          <w:rFonts w:eastAsiaTheme="minorEastAsia"/>
        </w:rPr>
      </w:pPr>
      <w:r>
        <w:rPr>
          <w:rFonts w:eastAsiaTheme="minorEastAsia"/>
        </w:rPr>
        <w:t>Žadatel dále prohlašuje, že nezařadí mezi způsobilé výdaje:</w:t>
      </w:r>
    </w:p>
    <w:p w14:paraId="5E321287" w14:textId="77777777" w:rsidR="00C21F60" w:rsidRDefault="00C21F60" w:rsidP="00C21F60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investice do výroby, zpracování, přepravy, distribuce, skladování nebo spalování fosilních paliv včetně investic do materiálního využití fosilních paliv;</w:t>
      </w:r>
    </w:p>
    <w:p w14:paraId="41FDADCB" w14:textId="77777777" w:rsidR="00C21F60" w:rsidRDefault="00C21F60" w:rsidP="00C21F60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náklady na nové spotřebiče, které nesplňují nejvyšší dostupnou energetickou třídu dle příslušné legislativy pro daný typ spotřebiče;</w:t>
      </w:r>
    </w:p>
    <w:p w14:paraId="3C011C0A" w14:textId="77777777" w:rsidR="00C21F60" w:rsidRDefault="00C21F60" w:rsidP="00C21F60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náklady na výměnu zdroje energie bez toho, že budovat bude po realizaci projektu plnit minimálně parametry energetické náročnosti definované národní legislativou (§ 6 odst. 2 vyhlášky č.264/2020 Sb., o energetické náročnosti budov);</w:t>
      </w:r>
    </w:p>
    <w:p w14:paraId="119D7690" w14:textId="77777777" w:rsidR="00C21F60" w:rsidRDefault="00C21F60" w:rsidP="00C21F60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náklady na zařízení využívajících vodu, které nesplňují následující podmínky:</w:t>
      </w:r>
    </w:p>
    <w:p w14:paraId="60DA3E5D" w14:textId="77777777" w:rsidR="00C21F60" w:rsidRDefault="00C21F60" w:rsidP="00C21F60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sprchy mají maximální průtok vody 8 l/min;</w:t>
      </w:r>
    </w:p>
    <w:p w14:paraId="2F975DA3" w14:textId="77777777" w:rsidR="00C21F60" w:rsidRDefault="00C21F60" w:rsidP="00C21F60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WC, zahrnující soupravy, mísy a splachovací nádrže, mají úplný objem splachovací vody maximálně 6 l. a maximální průměrný objem splachovací vody 3,5l;</w:t>
      </w:r>
    </w:p>
    <w:p w14:paraId="5CF0069D" w14:textId="77777777" w:rsidR="00C21F60" w:rsidRDefault="00C21F60" w:rsidP="00C21F60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pisoáry spotřebují maximálně 2 l/mísu/hodinu. Splachovací pisoáry mají maximální úplný objem splachovací vody 1 l;</w:t>
      </w:r>
    </w:p>
    <w:p w14:paraId="7F3A8B0D" w14:textId="77777777" w:rsidR="00C21F60" w:rsidRDefault="00C21F60" w:rsidP="00C21F60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umyvadlové baterie a kuchyňské baterie mají maximální průtok 6 l/min.</w:t>
      </w:r>
    </w:p>
    <w:p w14:paraId="03F55FA5" w14:textId="77777777" w:rsidR="00C21F60" w:rsidRDefault="00C21F60" w:rsidP="00C21F60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náklady na zařízení bateriové akumulace pro obnovitelné zdroje energie, které jsou na bázi olova, </w:t>
      </w:r>
      <w:proofErr w:type="spellStart"/>
      <w:r>
        <w:rPr>
          <w:rFonts w:eastAsiaTheme="minorEastAsia"/>
        </w:rPr>
        <w:t>NiCd</w:t>
      </w:r>
      <w:proofErr w:type="spellEnd"/>
      <w:r>
        <w:rPr>
          <w:rFonts w:eastAsiaTheme="minorEastAsia"/>
        </w:rPr>
        <w:t xml:space="preserve"> a </w:t>
      </w:r>
      <w:proofErr w:type="spellStart"/>
      <w:r>
        <w:rPr>
          <w:rFonts w:eastAsiaTheme="minorEastAsia"/>
        </w:rPr>
        <w:t>NiMH</w:t>
      </w:r>
      <w:proofErr w:type="spellEnd"/>
      <w:r>
        <w:rPr>
          <w:rFonts w:eastAsiaTheme="minorEastAsia"/>
        </w:rPr>
        <w:t>;</w:t>
      </w:r>
    </w:p>
    <w:p w14:paraId="77630266" w14:textId="77777777" w:rsidR="00C21F60" w:rsidRDefault="00C21F60" w:rsidP="00C21F60">
      <w:pPr>
        <w:pStyle w:val="Odstavecseseznamem"/>
        <w:keepNext/>
        <w:numPr>
          <w:ilvl w:val="0"/>
          <w:numId w:val="10"/>
        </w:numPr>
        <w:ind w:left="714" w:hanging="357"/>
        <w:rPr>
          <w:rFonts w:eastAsiaTheme="minorEastAsia"/>
        </w:rPr>
      </w:pPr>
      <w:r>
        <w:rPr>
          <w:rFonts w:eastAsiaTheme="minorEastAsia"/>
        </w:rPr>
        <w:lastRenderedPageBreak/>
        <w:t>náklady na pořízení kotlů na biomasu, které nesplňují následující podmínky:</w:t>
      </w:r>
    </w:p>
    <w:p w14:paraId="2C5FEB82" w14:textId="77777777" w:rsidR="00C21F60" w:rsidRDefault="00C21F60" w:rsidP="00C21F60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jsou v souladu s kritérii udržitelnosti a úspor emisí skleníkových plynů stanovenými v článku 29 směrnice (EU) 2018/2001 o podpoře využívání energie z obnovitelných zdrojů („směrnice o obnovitelných zdrojích energie“, „RED II“). Tyto požadavky se budou vztahovat na všechna zařízení bez ohledu na prahové hodnoty uvedené ve směrnici RED II</w:t>
      </w:r>
      <w:r>
        <w:rPr>
          <w:rStyle w:val="Znakapoznpodarou"/>
          <w:rFonts w:eastAsiaTheme="minorEastAsia"/>
        </w:rPr>
        <w:footnoteReference w:id="2"/>
      </w:r>
      <w:r>
        <w:rPr>
          <w:rFonts w:eastAsiaTheme="minorEastAsia"/>
        </w:rPr>
        <w:t>;</w:t>
      </w:r>
    </w:p>
    <w:p w14:paraId="76DA95CB" w14:textId="77777777" w:rsidR="00C21F60" w:rsidRDefault="00C21F60" w:rsidP="00C21F60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</w:p>
    <w:p w14:paraId="3AB17619" w14:textId="77777777" w:rsidR="00C21F60" w:rsidRDefault="00C21F60" w:rsidP="00C21F60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náklady na výsadbu zeleně, které nesplňují následující podmínku:</w:t>
      </w:r>
    </w:p>
    <w:p w14:paraId="450C5F8B" w14:textId="77777777" w:rsidR="00C21F60" w:rsidRDefault="00C21F60" w:rsidP="00C21F60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při výsadbě zeleně se použijí pouze stanovištně vhodné dřeviny, které zajistí odolnost vůči klimatu a zároveň nebudou mít negativní dopad z pohledu biologické rozmanitosti.</w:t>
      </w:r>
    </w:p>
    <w:p w14:paraId="08B549C0" w14:textId="77777777" w:rsidR="003F4741" w:rsidRDefault="003F4741">
      <w:pPr>
        <w:rPr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F4741" w14:paraId="69253B8A" w14:textId="77777777">
        <w:trPr>
          <w:trHeight w:val="132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B086B" w14:textId="77777777" w:rsidR="003F4741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EB727" w14:textId="77777777" w:rsidR="003F4741" w:rsidRDefault="003F4741">
            <w:pPr>
              <w:spacing w:after="0" w:line="240" w:lineRule="auto"/>
              <w:rPr>
                <w:rFonts w:cs="Segoe UI"/>
              </w:rPr>
            </w:pPr>
          </w:p>
        </w:tc>
      </w:tr>
      <w:tr w:rsidR="003F4741" w14:paraId="06199C3D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14:paraId="546A1E4F" w14:textId="77777777" w:rsidR="003F4741" w:rsidRDefault="003F4741">
            <w:pPr>
              <w:spacing w:after="0" w:line="240" w:lineRule="auto"/>
              <w:rPr>
                <w:rFonts w:cs="Segoe UI"/>
              </w:rPr>
            </w:pPr>
          </w:p>
        </w:tc>
      </w:tr>
      <w:tr w:rsidR="003F4741" w14:paraId="556BDCC6" w14:textId="77777777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B73FA" w14:textId="77777777" w:rsidR="003F4741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10EA" w14:textId="77777777" w:rsidR="003F4741" w:rsidRDefault="003F4741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78AECBB4" w14:textId="77777777" w:rsidR="003F4741" w:rsidRDefault="003F4741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AB67" w14:textId="77777777" w:rsidR="003F4741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27C187BB" w14:textId="77777777" w:rsidR="003F4741" w:rsidRDefault="00000000">
            <w:pPr>
              <w:spacing w:after="0" w:line="240" w:lineRule="auto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0C755" w14:textId="77777777" w:rsidR="003F4741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26016A0E" w14:textId="77777777" w:rsidR="003F4741" w:rsidRDefault="003F4741">
      <w:pPr>
        <w:spacing w:after="120" w:line="360" w:lineRule="auto"/>
        <w:jc w:val="both"/>
        <w:rPr>
          <w:rFonts w:eastAsia="Times New Roman" w:cs="Segoe UI"/>
          <w:szCs w:val="20"/>
        </w:rPr>
      </w:pPr>
    </w:p>
    <w:p w14:paraId="1F4E5190" w14:textId="77777777" w:rsidR="003F4741" w:rsidRDefault="003F4741"/>
    <w:sectPr w:rsidR="003F474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084E" w14:textId="77777777" w:rsidR="00197FD2" w:rsidRDefault="00197FD2">
      <w:pPr>
        <w:spacing w:after="0" w:line="240" w:lineRule="auto"/>
      </w:pPr>
      <w:r>
        <w:separator/>
      </w:r>
    </w:p>
  </w:endnote>
  <w:endnote w:type="continuationSeparator" w:id="0">
    <w:p w14:paraId="3B8BFC08" w14:textId="77777777" w:rsidR="00197FD2" w:rsidRDefault="0019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85FC" w14:textId="77777777" w:rsidR="003F4741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D4943" wp14:editId="2C3073BF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D6617" w14:textId="77777777" w:rsidR="003F4741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D494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2F3D6617" w14:textId="77777777" w:rsidR="003F4741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4DF3E000" w14:textId="77777777" w:rsidR="003F4741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1FE53678" w14:textId="77777777" w:rsidR="003F4741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2CA0" w14:textId="77777777" w:rsidR="003F4741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1F5D" w14:textId="77777777" w:rsidR="00197FD2" w:rsidRDefault="00197FD2">
      <w:pPr>
        <w:spacing w:after="0" w:line="240" w:lineRule="auto"/>
      </w:pPr>
      <w:r>
        <w:separator/>
      </w:r>
    </w:p>
  </w:footnote>
  <w:footnote w:type="continuationSeparator" w:id="0">
    <w:p w14:paraId="3B1B111C" w14:textId="77777777" w:rsidR="00197FD2" w:rsidRDefault="00197FD2">
      <w:pPr>
        <w:spacing w:after="0" w:line="240" w:lineRule="auto"/>
      </w:pPr>
      <w:r>
        <w:continuationSeparator/>
      </w:r>
    </w:p>
  </w:footnote>
  <w:footnote w:id="1">
    <w:p w14:paraId="06BA35C2" w14:textId="77777777" w:rsidR="00C21F60" w:rsidRDefault="00C21F60" w:rsidP="00C21F60">
      <w:pPr>
        <w:rPr>
          <w:rFonts w:cs="Segoe UI"/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Segoe UI"/>
          <w:sz w:val="16"/>
          <w:szCs w:val="16"/>
        </w:rPr>
        <w:t xml:space="preserve">Splnění zde uvedených podmínek může být předmětem kontroly na místě. V případě, že v rámci kontroly </w:t>
      </w:r>
      <w:proofErr w:type="spellStart"/>
      <w:r>
        <w:rPr>
          <w:rFonts w:cs="Segoe UI"/>
          <w:sz w:val="16"/>
          <w:szCs w:val="16"/>
        </w:rPr>
        <w:t>ŽoP</w:t>
      </w:r>
      <w:proofErr w:type="spellEnd"/>
      <w:r>
        <w:rPr>
          <w:rFonts w:cs="Segoe UI"/>
          <w:sz w:val="16"/>
          <w:szCs w:val="16"/>
        </w:rPr>
        <w:t xml:space="preserve"> bude schválen výdaj, který je v rozporu s principem DNSH, neznamená to, že při následném zjištění porušení pravidel DNSH </w:t>
      </w:r>
      <w:proofErr w:type="gramStart"/>
      <w:r>
        <w:rPr>
          <w:rFonts w:cs="Segoe UI"/>
          <w:sz w:val="16"/>
          <w:szCs w:val="16"/>
        </w:rPr>
        <w:t>pozbyde</w:t>
      </w:r>
      <w:proofErr w:type="gramEnd"/>
      <w:r>
        <w:rPr>
          <w:rFonts w:cs="Segoe UI"/>
          <w:sz w:val="16"/>
          <w:szCs w:val="16"/>
        </w:rPr>
        <w:t xml:space="preserve"> toto prohlášení platnosti, jakož i všechny důsledky, které z jeho porušení vyplývají. </w:t>
      </w:r>
    </w:p>
    <w:p w14:paraId="30AD1A49" w14:textId="77777777" w:rsidR="00C21F60" w:rsidRDefault="00C21F60" w:rsidP="00C21F60">
      <w:pPr>
        <w:pStyle w:val="Textpoznpodarou"/>
      </w:pPr>
    </w:p>
  </w:footnote>
  <w:footnote w:id="2">
    <w:p w14:paraId="7BD62EF1" w14:textId="77777777" w:rsidR="00C21F60" w:rsidRDefault="00C21F60" w:rsidP="00C21F60">
      <w:pPr>
        <w:pStyle w:val="Textpoznpodarou"/>
      </w:pPr>
      <w:r>
        <w:rPr>
          <w:rStyle w:val="Znakapoznpodarou"/>
        </w:rPr>
        <w:footnoteRef/>
      </w:r>
      <w:r>
        <w:t xml:space="preserve">   a dále ve znění vyhlášky č. 110/2022 Sb. o stanovení druhů a parametrů podporovaných obnovitelných zdrojů a kritérií udržitelnosti a úspory emisí skleníkových plynů pro </w:t>
      </w:r>
      <w:proofErr w:type="spellStart"/>
      <w:r>
        <w:t>biokapaliny</w:t>
      </w:r>
      <w:proofErr w:type="spellEnd"/>
      <w:r>
        <w:t xml:space="preserve"> a paliva z biomasy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1C25" w14:textId="77777777" w:rsidR="003F4741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5D55DF80" wp14:editId="426C27BD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149B" w14:textId="77777777" w:rsidR="003F4741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59D52926" wp14:editId="61986A93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AA8"/>
    <w:multiLevelType w:val="multilevel"/>
    <w:tmpl w:val="32BEF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BC3"/>
    <w:multiLevelType w:val="multilevel"/>
    <w:tmpl w:val="A21E0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2709"/>
    <w:multiLevelType w:val="multilevel"/>
    <w:tmpl w:val="8B18B292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17884"/>
    <w:multiLevelType w:val="multilevel"/>
    <w:tmpl w:val="707A725C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8344D"/>
    <w:multiLevelType w:val="multilevel"/>
    <w:tmpl w:val="5AD4C8E8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5" w15:restartNumberingAfterBreak="0">
    <w:nsid w:val="5DEA1B66"/>
    <w:multiLevelType w:val="multilevel"/>
    <w:tmpl w:val="883CC844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2474A"/>
    <w:multiLevelType w:val="multilevel"/>
    <w:tmpl w:val="6652E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75214"/>
    <w:multiLevelType w:val="multilevel"/>
    <w:tmpl w:val="42A8A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12B04"/>
    <w:multiLevelType w:val="multilevel"/>
    <w:tmpl w:val="0B200A8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01039223">
    <w:abstractNumId w:val="4"/>
  </w:num>
  <w:num w:numId="2" w16cid:durableId="964697149">
    <w:abstractNumId w:val="2"/>
  </w:num>
  <w:num w:numId="3" w16cid:durableId="1742485587">
    <w:abstractNumId w:val="8"/>
  </w:num>
  <w:num w:numId="4" w16cid:durableId="448162585">
    <w:abstractNumId w:val="5"/>
  </w:num>
  <w:num w:numId="5" w16cid:durableId="1374693649">
    <w:abstractNumId w:val="3"/>
  </w:num>
  <w:num w:numId="6" w16cid:durableId="8871872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506876">
    <w:abstractNumId w:val="7"/>
  </w:num>
  <w:num w:numId="8" w16cid:durableId="326909963">
    <w:abstractNumId w:val="6"/>
  </w:num>
  <w:num w:numId="9" w16cid:durableId="639462567">
    <w:abstractNumId w:val="1"/>
  </w:num>
  <w:num w:numId="10" w16cid:durableId="107539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41"/>
    <w:rsid w:val="00197FD2"/>
    <w:rsid w:val="003F4741"/>
    <w:rsid w:val="007D2D13"/>
    <w:rsid w:val="00C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3E56"/>
  <w15:docId w15:val="{70D40970-8ACE-4F86-A069-A03D0C8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D462FC37A7E4CB694B29F59B0E49F" ma:contentTypeVersion="4" ma:contentTypeDescription="Vytvoří nový dokument" ma:contentTypeScope="" ma:versionID="0647d2f03a4b80e5cfe74d93ba40f229">
  <xsd:schema xmlns:xsd="http://www.w3.org/2001/XMLSchema" xmlns:xs="http://www.w3.org/2001/XMLSchema" xmlns:p="http://schemas.microsoft.com/office/2006/metadata/properties" xmlns:ns2="eba4313f-2fcd-4ebb-b120-12293f9a09a7" targetNamespace="http://schemas.microsoft.com/office/2006/metadata/properties" ma:root="true" ma:fieldsID="8f4a5279aa343e3e2aa300b634e06115" ns2:_="">
    <xsd:import namespace="eba4313f-2fcd-4ebb-b120-12293f9a0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313f-2fcd-4ebb-b120-12293f9a0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9DC83-B9BB-4822-A860-8A22D9A10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6BADDC-7B37-45BD-81FE-D13D5C7BF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02FE4-390C-429E-8703-5C6879860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4313f-2fcd-4ebb-b120-12293f9a0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Boye-Kofi</cp:lastModifiedBy>
  <cp:revision>9</cp:revision>
  <dcterms:created xsi:type="dcterms:W3CDTF">2025-01-27T10:46:00Z</dcterms:created>
  <dcterms:modified xsi:type="dcterms:W3CDTF">2025-05-28T12:44:00Z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0x010100C1AD462FC37A7E4CB694B29F59B0E49F</vt:lpwstr>
  </property>
</Properties>
</file>